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C1532" w14:textId="4452D185" w:rsidR="005B1D3B" w:rsidRDefault="005B1D3B" w:rsidP="005B1D3B">
      <w:pPr>
        <w:spacing w:after="0" w:line="240" w:lineRule="auto"/>
        <w:ind w:firstLine="709"/>
        <w:jc w:val="right"/>
        <w:rPr>
          <w:rFonts w:ascii="Times New Roman" w:hAnsi="Times New Roman" w:cs="Times New Roman"/>
          <w:sz w:val="20"/>
          <w:szCs w:val="20"/>
        </w:rPr>
      </w:pPr>
      <w:r>
        <w:rPr>
          <w:rFonts w:ascii="Times New Roman" w:hAnsi="Times New Roman" w:cs="Times New Roman"/>
          <w:sz w:val="20"/>
          <w:szCs w:val="20"/>
        </w:rPr>
        <w:t>Pirkimo sąlygų</w:t>
      </w:r>
    </w:p>
    <w:p w14:paraId="0CFE65B2" w14:textId="73A778A6" w:rsidR="005B1D3B" w:rsidRDefault="005B1D3B" w:rsidP="005B1D3B">
      <w:pPr>
        <w:spacing w:after="0" w:line="240" w:lineRule="auto"/>
        <w:ind w:firstLine="709"/>
        <w:jc w:val="right"/>
        <w:rPr>
          <w:rFonts w:ascii="Times New Roman" w:hAnsi="Times New Roman" w:cs="Times New Roman"/>
          <w:sz w:val="20"/>
          <w:szCs w:val="20"/>
        </w:rPr>
      </w:pPr>
      <w:r>
        <w:rPr>
          <w:rFonts w:ascii="Times New Roman" w:hAnsi="Times New Roman" w:cs="Times New Roman"/>
          <w:sz w:val="20"/>
          <w:szCs w:val="20"/>
        </w:rPr>
        <w:t>1 priedas „Techninė specifikacija“</w:t>
      </w:r>
    </w:p>
    <w:p w14:paraId="6D466256" w14:textId="77777777" w:rsidR="005B1D3B" w:rsidRPr="005B1D3B" w:rsidRDefault="005B1D3B" w:rsidP="005B1D3B">
      <w:pPr>
        <w:spacing w:after="0" w:line="240" w:lineRule="auto"/>
        <w:ind w:firstLine="709"/>
        <w:jc w:val="right"/>
        <w:rPr>
          <w:rFonts w:ascii="Times New Roman" w:hAnsi="Times New Roman" w:cs="Times New Roman"/>
          <w:sz w:val="20"/>
          <w:szCs w:val="20"/>
        </w:rPr>
      </w:pPr>
    </w:p>
    <w:p w14:paraId="15DABA87" w14:textId="4EB997A9" w:rsidR="006D64E0" w:rsidRPr="00C43CCD" w:rsidRDefault="00045D26" w:rsidP="006D64E0">
      <w:pPr>
        <w:spacing w:line="240" w:lineRule="auto"/>
        <w:ind w:firstLine="709"/>
        <w:jc w:val="center"/>
        <w:rPr>
          <w:rFonts w:ascii="Times New Roman" w:hAnsi="Times New Roman" w:cs="Times New Roman"/>
          <w:b/>
          <w:bCs/>
          <w:sz w:val="22"/>
          <w:szCs w:val="22"/>
          <w:lang w:val="pt-BR"/>
        </w:rPr>
      </w:pPr>
      <w:r>
        <w:rPr>
          <w:rFonts w:ascii="Times New Roman" w:hAnsi="Times New Roman" w:cs="Times New Roman"/>
          <w:b/>
          <w:bCs/>
          <w:sz w:val="24"/>
          <w:szCs w:val="24"/>
        </w:rPr>
        <w:t>„</w:t>
      </w:r>
      <w:r w:rsidRPr="00270AF5">
        <w:rPr>
          <w:rFonts w:ascii="Times New Roman" w:hAnsi="Times New Roman" w:cs="Times New Roman"/>
          <w:b/>
          <w:bCs/>
          <w:sz w:val="24"/>
          <w:szCs w:val="24"/>
        </w:rPr>
        <w:t>UŽ KIBERNETINĮ SAUGUMĄ  ATSAKINGŲ  ASMENŲ PASLAUGŲ PIRKIMAS</w:t>
      </w:r>
      <w:r>
        <w:rPr>
          <w:rFonts w:ascii="Times New Roman" w:hAnsi="Times New Roman" w:cs="Times New Roman"/>
          <w:b/>
          <w:bCs/>
          <w:sz w:val="24"/>
          <w:szCs w:val="24"/>
        </w:rPr>
        <w:t xml:space="preserve">“  </w:t>
      </w:r>
      <w:r w:rsidRPr="00270AF5">
        <w:rPr>
          <w:rFonts w:ascii="Times New Roman" w:hAnsi="Times New Roman" w:cs="Times New Roman"/>
          <w:b/>
          <w:bCs/>
          <w:sz w:val="24"/>
          <w:szCs w:val="24"/>
        </w:rPr>
        <w:t>(KIBERNETINIO SAUGUMO VADOVO,  SAUGOS ĮGALIOTINIO PASLAUGOS)</w:t>
      </w:r>
      <w:r w:rsidRPr="00CF6005">
        <w:rPr>
          <w:rFonts w:ascii="Times New Roman" w:hAnsi="Times New Roman" w:cs="Times New Roman"/>
          <w:b/>
          <w:bCs/>
          <w:sz w:val="24"/>
          <w:szCs w:val="24"/>
        </w:rPr>
        <w:t xml:space="preserve"> </w:t>
      </w:r>
    </w:p>
    <w:p w14:paraId="03328312" w14:textId="77777777" w:rsidR="006D64E0" w:rsidRPr="00F0245D" w:rsidRDefault="006D64E0" w:rsidP="006D64E0">
      <w:pPr>
        <w:spacing w:line="240" w:lineRule="auto"/>
        <w:ind w:firstLine="284"/>
        <w:jc w:val="center"/>
        <w:rPr>
          <w:rFonts w:ascii="Times New Roman" w:hAnsi="Times New Roman" w:cs="Times New Roman"/>
          <w:b/>
          <w:bCs/>
          <w:sz w:val="22"/>
          <w:szCs w:val="22"/>
        </w:rPr>
      </w:pPr>
      <w:r w:rsidRPr="00F0245D">
        <w:rPr>
          <w:rFonts w:ascii="Times New Roman" w:hAnsi="Times New Roman" w:cs="Times New Roman"/>
          <w:b/>
          <w:bCs/>
          <w:sz w:val="22"/>
          <w:szCs w:val="22"/>
        </w:rPr>
        <w:t>TECHNINĖ SPECIFIKACIJA</w:t>
      </w:r>
    </w:p>
    <w:p w14:paraId="43DAFB97"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1. </w:t>
      </w:r>
      <w:r w:rsidRPr="00F0245D">
        <w:rPr>
          <w:rFonts w:ascii="Times New Roman" w:hAnsi="Times New Roman" w:cs="Times New Roman"/>
          <w:b/>
          <w:bCs/>
          <w:sz w:val="22"/>
          <w:szCs w:val="22"/>
        </w:rPr>
        <w:t>Pirkimo objektas</w:t>
      </w:r>
      <w:r w:rsidRPr="00F0245D">
        <w:rPr>
          <w:rFonts w:ascii="Times New Roman" w:hAnsi="Times New Roman" w:cs="Times New Roman"/>
          <w:sz w:val="22"/>
          <w:szCs w:val="22"/>
        </w:rPr>
        <w:t xml:space="preserve"> – kibernetinio saugumo vadovo ir saugos įgaliotino, atsakingų už kibernetinio saugumo subjekto – </w:t>
      </w:r>
      <w:r>
        <w:rPr>
          <w:rFonts w:ascii="Times New Roman" w:hAnsi="Times New Roman" w:cs="Times New Roman"/>
          <w:sz w:val="22"/>
          <w:szCs w:val="22"/>
        </w:rPr>
        <w:t>Šiaulių miesto savivaldybės administracija</w:t>
      </w:r>
      <w:r w:rsidRPr="00F0245D">
        <w:rPr>
          <w:rFonts w:ascii="Times New Roman" w:hAnsi="Times New Roman" w:cs="Times New Roman"/>
          <w:sz w:val="22"/>
          <w:szCs w:val="22"/>
        </w:rPr>
        <w:t xml:space="preserve"> (toliau – </w:t>
      </w:r>
      <w:r>
        <w:rPr>
          <w:rFonts w:ascii="Times New Roman" w:hAnsi="Times New Roman" w:cs="Times New Roman"/>
          <w:sz w:val="22"/>
          <w:szCs w:val="22"/>
        </w:rPr>
        <w:t>ŠMSA</w:t>
      </w:r>
      <w:r w:rsidRPr="00F0245D">
        <w:rPr>
          <w:rFonts w:ascii="Times New Roman" w:hAnsi="Times New Roman" w:cs="Times New Roman"/>
          <w:sz w:val="22"/>
          <w:szCs w:val="22"/>
        </w:rPr>
        <w:t xml:space="preserve">, Perkančioji organizacija) atitikties Lietuvos Respublikos kibernetinio saugumo įstatymo (toliau – KSĮ) 14 ir 18 straipsniuose nustatytiems reikalavimams įgyvendinimą ir atliekančių kitas kibernetinį saugumą reglamentuojančiuose teisės aktuose nustatytas funkcijas, paslaugos. (toliau – Paslaugos). </w:t>
      </w:r>
    </w:p>
    <w:p w14:paraId="42F2B696" w14:textId="77777777" w:rsidR="006D64E0" w:rsidRDefault="006D64E0" w:rsidP="006D64E0">
      <w:pPr>
        <w:spacing w:after="0" w:line="240" w:lineRule="auto"/>
        <w:ind w:firstLine="709"/>
        <w:jc w:val="both"/>
        <w:rPr>
          <w:rFonts w:ascii="Times New Roman" w:hAnsi="Times New Roman" w:cs="Times New Roman"/>
          <w:sz w:val="22"/>
          <w:szCs w:val="22"/>
        </w:rPr>
      </w:pPr>
      <w:r w:rsidRPr="00C43CCD">
        <w:rPr>
          <w:rFonts w:ascii="Times New Roman" w:hAnsi="Times New Roman" w:cs="Times New Roman"/>
          <w:sz w:val="22"/>
          <w:szCs w:val="22"/>
        </w:rPr>
        <w:t>Paslaugų įsigijimo tikslas</w:t>
      </w:r>
      <w:r w:rsidRPr="00F0245D">
        <w:rPr>
          <w:rFonts w:ascii="Times New Roman" w:hAnsi="Times New Roman" w:cs="Times New Roman"/>
          <w:sz w:val="22"/>
          <w:szCs w:val="22"/>
        </w:rPr>
        <w:t xml:space="preserve"> – įsigyti visapusiškas informacijos ir kibernetinės saugos valdymo paslaugas, užtikrinančias LR teisės aktų nuostatų įgyvendinimą, taip pat užtikrinti tinkamą kibernetinės saugos lygį </w:t>
      </w:r>
      <w:r>
        <w:rPr>
          <w:rFonts w:ascii="Times New Roman" w:hAnsi="Times New Roman" w:cs="Times New Roman"/>
          <w:sz w:val="22"/>
          <w:szCs w:val="22"/>
        </w:rPr>
        <w:t>ŠMSA</w:t>
      </w:r>
      <w:r w:rsidRPr="00F0245D">
        <w:rPr>
          <w:rFonts w:ascii="Times New Roman" w:hAnsi="Times New Roman" w:cs="Times New Roman"/>
          <w:sz w:val="22"/>
          <w:szCs w:val="22"/>
        </w:rPr>
        <w:t>.</w:t>
      </w:r>
    </w:p>
    <w:p w14:paraId="7453641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w:t>
      </w:r>
    </w:p>
    <w:p w14:paraId="3E33D120" w14:textId="77777777" w:rsidR="006D64E0" w:rsidRDefault="006D64E0" w:rsidP="006D64E0">
      <w:pPr>
        <w:spacing w:after="0" w:line="240" w:lineRule="auto"/>
        <w:ind w:firstLine="709"/>
        <w:jc w:val="both"/>
        <w:rPr>
          <w:rFonts w:ascii="Times New Roman" w:hAnsi="Times New Roman" w:cs="Times New Roman"/>
          <w:b/>
          <w:bCs/>
          <w:sz w:val="22"/>
          <w:szCs w:val="22"/>
        </w:rPr>
      </w:pPr>
      <w:r w:rsidRPr="00F0245D">
        <w:rPr>
          <w:rFonts w:ascii="Times New Roman" w:hAnsi="Times New Roman" w:cs="Times New Roman"/>
          <w:sz w:val="22"/>
          <w:szCs w:val="22"/>
        </w:rPr>
        <w:t xml:space="preserve">2. </w:t>
      </w:r>
      <w:r w:rsidRPr="00F0245D">
        <w:rPr>
          <w:rFonts w:ascii="Times New Roman" w:hAnsi="Times New Roman" w:cs="Times New Roman"/>
          <w:b/>
          <w:bCs/>
          <w:sz w:val="22"/>
          <w:szCs w:val="22"/>
        </w:rPr>
        <w:t>Paslaugų Aprašymas.</w:t>
      </w:r>
    </w:p>
    <w:p w14:paraId="64EA7B62" w14:textId="77777777" w:rsidR="006D64E0" w:rsidRPr="00F0245D" w:rsidRDefault="006D64E0" w:rsidP="006D64E0">
      <w:pPr>
        <w:spacing w:after="0" w:line="240" w:lineRule="auto"/>
        <w:ind w:firstLine="709"/>
        <w:jc w:val="both"/>
        <w:rPr>
          <w:rFonts w:ascii="Times New Roman" w:hAnsi="Times New Roman" w:cs="Times New Roman"/>
          <w:sz w:val="22"/>
          <w:szCs w:val="22"/>
        </w:rPr>
      </w:pPr>
    </w:p>
    <w:p w14:paraId="128C58BD"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 Užtikrinti kibernetinio saugumo vadovo ir saugos įgaliotino, atsakingų už </w:t>
      </w:r>
      <w:r>
        <w:rPr>
          <w:rFonts w:ascii="Times New Roman" w:hAnsi="Times New Roman" w:cs="Times New Roman"/>
          <w:sz w:val="22"/>
          <w:szCs w:val="22"/>
        </w:rPr>
        <w:t>ŠMSA</w:t>
      </w:r>
      <w:r w:rsidRPr="00F0245D">
        <w:rPr>
          <w:rFonts w:ascii="Times New Roman" w:hAnsi="Times New Roman" w:cs="Times New Roman"/>
          <w:sz w:val="22"/>
          <w:szCs w:val="22"/>
        </w:rPr>
        <w:t xml:space="preserve"> atitikties KSĮ 14 ir 18 straipsniuose nustatytiems reikalavimams, funkcijų vykdymą;</w:t>
      </w:r>
    </w:p>
    <w:p w14:paraId="2D3500FC"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 Konsultuoti šiais klausimais: </w:t>
      </w:r>
    </w:p>
    <w:p w14:paraId="6573917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2.2.1. Informacijos saugos ir kibernetinio saugumo politikos gerinimas; </w:t>
      </w:r>
    </w:p>
    <w:p w14:paraId="1DA0A534"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2.2.2. IT turto vertinimas (saugumo ir suderinamumo su kita valdoma įranga); </w:t>
      </w:r>
    </w:p>
    <w:p w14:paraId="36EE71FD"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2.2.3. Žmogiškųjų išteklių saugumas; </w:t>
      </w:r>
    </w:p>
    <w:p w14:paraId="7497D64A"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2.2.4. Informacijos saugumo incidentų valdymas; </w:t>
      </w:r>
    </w:p>
    <w:p w14:paraId="0004DDD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2.2.5. Atsparumo kibernetiniams ir informacijos saugos incidentams didinimas;</w:t>
      </w:r>
    </w:p>
    <w:p w14:paraId="55BFCF8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2.2.6. Informacinių sistemų, jose tvarkomos elektroninės informacijos, informacinių išteklių svarbos vertinimas; </w:t>
      </w:r>
    </w:p>
    <w:p w14:paraId="3A897E5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2.2.7. Informacijos saugos ir kibernetinio saugumo rizikos vertinimas; </w:t>
      </w:r>
    </w:p>
    <w:p w14:paraId="47C14A9D"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2.2.8. Techninės ir programinės įrangos gamintojų ir tiekėjų atitikties vertinimas; </w:t>
      </w:r>
    </w:p>
    <w:p w14:paraId="5D5855E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2.2.9. Veiklos tęstinumo valdymas informacijos saugumo aspektu; </w:t>
      </w:r>
    </w:p>
    <w:p w14:paraId="20E47C33"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2.2.10. Atitikties įstatymams ir kitiems teisės aktams užtikrinimas; </w:t>
      </w:r>
    </w:p>
    <w:p w14:paraId="787D7EF9"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2.2.11. Perkančiosios organizacijos darbuotojų mokymai; </w:t>
      </w:r>
    </w:p>
    <w:p w14:paraId="017D1D7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2.2.12. Konsultavimas įsigyjant, kuriant, prižiūrint informacinių technologijų (toliau – IT) informacines sistemas, IT technines ir programines priemones, ryšius, duomenų centro ar kitas IT paslaugas, vertinant naujausias technologijas, tiekimo grandinės saugumą ir kitais su informacijos saugumu susijusiais klausimais. </w:t>
      </w:r>
    </w:p>
    <w:p w14:paraId="37E0B773" w14:textId="77777777" w:rsidR="006D64E0" w:rsidRPr="00C43CCD" w:rsidRDefault="006D64E0" w:rsidP="006D64E0">
      <w:pPr>
        <w:spacing w:after="0" w:line="240" w:lineRule="auto"/>
        <w:ind w:firstLine="709"/>
        <w:jc w:val="both"/>
        <w:rPr>
          <w:rFonts w:ascii="Times New Roman" w:hAnsi="Times New Roman" w:cs="Times New Roman"/>
          <w:sz w:val="22"/>
          <w:szCs w:val="22"/>
        </w:rPr>
      </w:pPr>
      <w:r w:rsidRPr="00C43CCD">
        <w:rPr>
          <w:rFonts w:ascii="Times New Roman" w:hAnsi="Times New Roman" w:cs="Times New Roman"/>
          <w:sz w:val="22"/>
          <w:szCs w:val="22"/>
        </w:rPr>
        <w:t xml:space="preserve">2.3. Kibernetinio saugumo vadovas Perkančiosios organizacijos atsparumo kibernetiniams ir informacijos saugos incidentams didinimo srityje privalo: </w:t>
      </w:r>
    </w:p>
    <w:p w14:paraId="42EA805C"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2.3.1. Atlikti informacinių sistemų kibernetinio saugumo būklės, atsparumo grėsmėms ir informacijos vagystėms analizę, kylančių grėsmių, rizikų ir pažeidžiamų vietų vertinimo koordinavimą, informacinių sistemų (toliau – IS) kritiškumo įvertinimą; </w:t>
      </w:r>
    </w:p>
    <w:p w14:paraId="394B1699"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2.3.2. Įvertinti</w:t>
      </w:r>
      <w:r>
        <w:rPr>
          <w:rFonts w:ascii="Times New Roman" w:hAnsi="Times New Roman" w:cs="Times New Roman"/>
          <w:sz w:val="22"/>
          <w:szCs w:val="22"/>
        </w:rPr>
        <w:t>,</w:t>
      </w:r>
      <w:r w:rsidRPr="00F0245D">
        <w:rPr>
          <w:rFonts w:ascii="Times New Roman" w:hAnsi="Times New Roman" w:cs="Times New Roman"/>
          <w:sz w:val="22"/>
          <w:szCs w:val="22"/>
        </w:rPr>
        <w:t xml:space="preserve"> ar teisingai inventorizuojama IS techninė ir programinė įranga, vertinamas valdomų IS kritiškumas; </w:t>
      </w:r>
    </w:p>
    <w:p w14:paraId="10AEC8DF"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2.3.3. Įvertinti</w:t>
      </w:r>
      <w:r>
        <w:rPr>
          <w:rFonts w:ascii="Times New Roman" w:hAnsi="Times New Roman" w:cs="Times New Roman"/>
          <w:sz w:val="22"/>
          <w:szCs w:val="22"/>
        </w:rPr>
        <w:t>,</w:t>
      </w:r>
      <w:r w:rsidRPr="00F0245D">
        <w:rPr>
          <w:rFonts w:ascii="Times New Roman" w:hAnsi="Times New Roman" w:cs="Times New Roman"/>
          <w:sz w:val="22"/>
          <w:szCs w:val="22"/>
        </w:rPr>
        <w:t xml:space="preserve"> ar naudojamos apsaugos priemonės yra pakankamos ir tinkamos elektroninės informacijos apsaugai; </w:t>
      </w:r>
    </w:p>
    <w:p w14:paraId="1C5CCBF6"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2.3.4. Įvertinti</w:t>
      </w:r>
      <w:r>
        <w:rPr>
          <w:rFonts w:ascii="Times New Roman" w:hAnsi="Times New Roman" w:cs="Times New Roman"/>
          <w:sz w:val="22"/>
          <w:szCs w:val="22"/>
        </w:rPr>
        <w:t>,</w:t>
      </w:r>
      <w:r w:rsidRPr="00F0245D">
        <w:rPr>
          <w:rFonts w:ascii="Times New Roman" w:hAnsi="Times New Roman" w:cs="Times New Roman"/>
          <w:sz w:val="22"/>
          <w:szCs w:val="22"/>
        </w:rPr>
        <w:t xml:space="preserve"> ar eksploatuojamos techninės analizės priemonės leis nedelsiant ir tinkamai reaguoti į incidentus; </w:t>
      </w:r>
    </w:p>
    <w:p w14:paraId="2F0951A4"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2.3.5. Įvertinti pasirengimą IS veiklos tęstinumui užtikrinti įvykus elektroninės informacijos saugos ar kibernetinio saugumo incidentui. </w:t>
      </w:r>
    </w:p>
    <w:p w14:paraId="138DE00A"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2.4. Organizuoti kibernetinio saugumo rizikos vertinimą, prižiūrėti ir tobulinti rizikos vertinimo procesą. Sudaryti rizikos mažinimo priemonių planą ir pateikti jį Perkančiosios organizacijos vadovybei tvirtinimui. Užtikrinti, kad rizikos vertinimas būtų atliekamas ne rečiau kaip kartą per metus, įvykus esminiams organizaciniams ar kitiems reikšmingiems pokyčiams, taip pat įvykus dideliam kibernetiniam incidentui.</w:t>
      </w:r>
    </w:p>
    <w:p w14:paraId="44D8A2D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lastRenderedPageBreak/>
        <w:t>Rizikos valdymo planas turi apimti bent priemonių nepriimtinoms rizikoms valdyti nustatymą ir reikalingus išteklius, už priemonių įgyvendinimą atsakingus asmenis bei priemonių įgyvendinimo terminus. Pagal įgaliojimus teikti rizikų vertinimo ataskaitos suvestinius duomenis į KSIS (Nacionalinio kibernetinio saugumo centro platformą).</w:t>
      </w:r>
    </w:p>
    <w:p w14:paraId="45EC0FAF"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2.5. Pagal įgaliojimus organizuoti naudotojų supažindinimą su saugos politikos įgyvendinimo dokumentais ir teisės aktais. </w:t>
      </w:r>
    </w:p>
    <w:p w14:paraId="0C2296E7" w14:textId="77777777" w:rsidR="006D64E0" w:rsidRPr="00F0245D" w:rsidRDefault="006D64E0" w:rsidP="006D64E0">
      <w:pPr>
        <w:spacing w:after="0" w:line="240" w:lineRule="auto"/>
        <w:ind w:firstLine="709"/>
        <w:jc w:val="both"/>
        <w:rPr>
          <w:rFonts w:ascii="Times New Roman" w:hAnsi="Times New Roman" w:cs="Times New Roman"/>
          <w:color w:val="000000" w:themeColor="text1"/>
          <w:sz w:val="22"/>
          <w:szCs w:val="22"/>
        </w:rPr>
      </w:pPr>
      <w:r w:rsidRPr="00F0245D">
        <w:rPr>
          <w:rFonts w:ascii="Times New Roman" w:hAnsi="Times New Roman" w:cs="Times New Roman"/>
          <w:color w:val="000000" w:themeColor="text1"/>
          <w:sz w:val="22"/>
          <w:szCs w:val="22"/>
        </w:rPr>
        <w:t xml:space="preserve">2.6. Kartą per metus </w:t>
      </w:r>
      <w:r>
        <w:rPr>
          <w:rFonts w:ascii="Times New Roman" w:hAnsi="Times New Roman" w:cs="Times New Roman"/>
          <w:color w:val="000000" w:themeColor="text1"/>
          <w:sz w:val="22"/>
          <w:szCs w:val="22"/>
        </w:rPr>
        <w:t>surengti</w:t>
      </w:r>
      <w:r w:rsidRPr="00F0245D">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ŠMSA</w:t>
      </w:r>
      <w:r w:rsidRPr="00F0245D">
        <w:rPr>
          <w:rFonts w:ascii="Times New Roman" w:hAnsi="Times New Roman" w:cs="Times New Roman"/>
          <w:color w:val="000000" w:themeColor="text1"/>
          <w:sz w:val="22"/>
          <w:szCs w:val="22"/>
        </w:rPr>
        <w:t xml:space="preserve"> darbuotojams mokymus informacijos ir kibernetinio saugumo bei socialinės inžinerijos temomis.</w:t>
      </w:r>
    </w:p>
    <w:p w14:paraId="2603C5BB" w14:textId="77777777" w:rsidR="006D64E0" w:rsidRPr="00F0245D" w:rsidRDefault="006D64E0" w:rsidP="006D64E0">
      <w:pPr>
        <w:spacing w:after="0" w:line="240" w:lineRule="auto"/>
        <w:ind w:firstLine="709"/>
        <w:jc w:val="both"/>
        <w:rPr>
          <w:rFonts w:ascii="Times New Roman" w:hAnsi="Times New Roman" w:cs="Times New Roman"/>
          <w:color w:val="000000" w:themeColor="text1"/>
          <w:sz w:val="22"/>
          <w:szCs w:val="22"/>
        </w:rPr>
      </w:pPr>
      <w:r w:rsidRPr="00F0245D">
        <w:rPr>
          <w:rFonts w:ascii="Times New Roman" w:hAnsi="Times New Roman" w:cs="Times New Roman"/>
          <w:color w:val="000000" w:themeColor="text1"/>
          <w:sz w:val="22"/>
          <w:szCs w:val="22"/>
        </w:rPr>
        <w:t>2.7. Ne rečiau nei kartą per metus vykdyti socialinės inžinerijos testus, siekiant įvertinti darbuotojų atsparumą.</w:t>
      </w:r>
    </w:p>
    <w:p w14:paraId="79C5580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2.6. Ne rečiau nei kartą per mėn</w:t>
      </w:r>
      <w:r>
        <w:rPr>
          <w:rFonts w:ascii="Times New Roman" w:hAnsi="Times New Roman" w:cs="Times New Roman"/>
          <w:sz w:val="22"/>
          <w:szCs w:val="22"/>
        </w:rPr>
        <w:t>esį</w:t>
      </w:r>
      <w:r w:rsidRPr="00F0245D">
        <w:rPr>
          <w:rFonts w:ascii="Times New Roman" w:hAnsi="Times New Roman" w:cs="Times New Roman"/>
          <w:sz w:val="22"/>
          <w:szCs w:val="22"/>
        </w:rPr>
        <w:t xml:space="preserve"> informuoti apie grėsmes, tendencijas, pokyčius Perkančiojoje organizacijoje, numatomus informacijos saugumo procesų pokyčius, tvaraus kibernetinio saugumo principus. </w:t>
      </w:r>
    </w:p>
    <w:p w14:paraId="22CF984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2.7. Pagal poreikį dalyvauti kibernetinių incidentų tyrimų, vertinimo ir analizės procesuose. Inicijuoti ataskaitų apie kibernetinį incidentą užpildymą ir incidento registravimą KSIS (pagal įgaliojimus). Incidento metu konsultuoti atsakingus asmenis.</w:t>
      </w:r>
    </w:p>
    <w:p w14:paraId="1111C66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2.8. Komunikuoti su Nacionaliniu kibernetinio saugumo centru prie Krašto apsaugos ministerijos (pagal įgaliojimus ir poreikį). </w:t>
      </w:r>
    </w:p>
    <w:p w14:paraId="71F5BC8D"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2.9. Kartą per metus organizuoti kibernetinio saugumo reikalavimų veiksmingumo vertinimą pagal Kibernetinio saugumo įstatymo reikalavimų aprašo 8 skirsnį. </w:t>
      </w:r>
    </w:p>
    <w:p w14:paraId="7B4F6A93"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2.10. Du kartus per metus organizuoti spragų ir pažeidžiamumų patikrinimą tinkle ir svarbiausiose informacinėse sistemose kaip to reikalaujama Kibernetinio saugumo įstatymo reikalavimų aprašo 7 skirsnyje. </w:t>
      </w:r>
    </w:p>
    <w:p w14:paraId="30B88543"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2.11. Kibernetinio saugumo vadovas turi bent kartą per metus peržiūrėti ir pateikti gerinimo pasiūlymus tokioms temoms: </w:t>
      </w:r>
    </w:p>
    <w:p w14:paraId="31DD188F"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2.11.1. Informacinių sistemų, duomenų bazių kopijų valdymą: atsarginių kopijų kūrimo politikos peržiūra, keitimas, tvarkos gerinimo rekomendacijų teikimas Perkančiajai organizacijai (ne rečiau kaip kartą per metus arba pagal poreikį), organizavimas ir dalyvavimas informacijos atkūrimo iš atsarginių kopijų procese (ne rečiau kaip kartą per metus arba pagal poreikį); </w:t>
      </w:r>
    </w:p>
    <w:p w14:paraId="0A03E8CA"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2.11.2. Techninės ir programinės įrangos eksploatavimo ciklo valdymą: IS funkcionalumo, programinės ir techninės įrangos keitimo, atnaujinimo, naikinimo procesų tvarkos peržiūra, koregavimas, tvarkos gerinimo rekomendacijų teikimas Perkančiajai organizacijai (ne rečiau kaip kartą per metus arba pagal poreikį), leidžiamos naudoti programinės įrangos sąrašo atnaujinimas (ne rečiau kaip kartą per metus arba pagal poreikį); </w:t>
      </w:r>
    </w:p>
    <w:p w14:paraId="530641C2"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2.11.3. Mobiliųjų įrenginių valdymą: mobiliųjų įrenginių techninės ir programinės įrangos naudojimo politikos peržiūra, nustatymas, koregavimas ir įgyvendinimo koordinavimas, tvarkos kūrimas, jos gerinimo ir prevencinių priemonių rekomendacijų teikimas Perkančiajai organizacijai ne rečiau kaip kartą per metus arba pagal poreikį; </w:t>
      </w:r>
    </w:p>
    <w:p w14:paraId="3215880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2.11.4. Jautrių duomenų valdymą: jautrių duomenų valdymo politikos peržiūra, koregavimas, tvarkos gerinimo ir prevencinių priemonių rekomendacijų teikimas Perkančiajai organizacijai ne rečiau kaip kartą per metus arba pagal poreikį, politikos įgyvendinimo koordinavimas, kuris apima, bet neapsiriboja, informacijos įkėlimu iš išorės, informacijos siuntimu Perkančiosios organizacijos viduje ir į išorę, informacijos persiuntimu ne į ES ir NATO valstybes; </w:t>
      </w:r>
    </w:p>
    <w:p w14:paraId="7F10DC4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2.11.5. Duomenų laikmenų valdymą: duomenų laikmenų politikos nustatymas, gerinimas ir įgyvendinimo koordinavimas, duomenų laikmenų naudojimo rizikos vertinimas (ne rečiau kaip kartą per metus arba pagal poreikį), prevencinių priemonių rekomendacijų teikimas (pagal poreikį).</w:t>
      </w:r>
    </w:p>
    <w:p w14:paraId="44E02255" w14:textId="77777777" w:rsidR="006D64E0" w:rsidRPr="00F0245D" w:rsidRDefault="006D64E0" w:rsidP="006D64E0">
      <w:pPr>
        <w:spacing w:after="0" w:line="240" w:lineRule="auto"/>
        <w:ind w:firstLine="709"/>
        <w:jc w:val="both"/>
        <w:rPr>
          <w:rFonts w:ascii="Times New Roman" w:hAnsi="Times New Roman" w:cs="Times New Roman"/>
          <w:color w:val="000000" w:themeColor="text1"/>
          <w:sz w:val="22"/>
          <w:szCs w:val="22"/>
        </w:rPr>
      </w:pPr>
      <w:r w:rsidRPr="00F0245D">
        <w:rPr>
          <w:rFonts w:ascii="Times New Roman" w:hAnsi="Times New Roman" w:cs="Times New Roman"/>
          <w:color w:val="000000" w:themeColor="text1"/>
          <w:sz w:val="22"/>
          <w:szCs w:val="22"/>
        </w:rPr>
        <w:t>2.11.6. Peržiūrėti kitus vidinius saugos dokumentus (tvarkas, planus) (ne rečiau kaip kartą per metus).</w:t>
      </w:r>
    </w:p>
    <w:p w14:paraId="6591DEBC"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2.12. Kibernetinio saugumo vadovas turi paruošti kibernetinio saugumo politikos dokumentų rinkinį, kurį turi sudaryti įskaitant bet neapsiribojant, šie dokumentai: </w:t>
      </w:r>
    </w:p>
    <w:p w14:paraId="281AB38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2.12.1. Tinklų ir informacinių sistemų saugumo politika. Ją turi sudaryti: </w:t>
      </w:r>
    </w:p>
    <w:p w14:paraId="23671F96"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tinklų ir informacinių sistemų rizikos vertinimo ir valdymo tvarka; </w:t>
      </w:r>
    </w:p>
    <w:p w14:paraId="46337E8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tiekimo grandinės saugumo valdymo tvarka; </w:t>
      </w:r>
    </w:p>
    <w:p w14:paraId="4089F45C"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sistemų įsigijimo, plėtojimo ir priežiūros saugumo užtikrinimo tvarka; </w:t>
      </w:r>
    </w:p>
    <w:p w14:paraId="077035C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tinklų ir informacinių sistemų pokyčių valdymo tvarka; </w:t>
      </w:r>
    </w:p>
    <w:p w14:paraId="76CCE524"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pataisų valdymo tvarka; </w:t>
      </w:r>
    </w:p>
    <w:p w14:paraId="2D7F96F5"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spragų valdymo ir atskleidimo nuostatos; </w:t>
      </w:r>
    </w:p>
    <w:p w14:paraId="12CEF8A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reikalavimų veiksmingumo vertinimo tvarka;</w:t>
      </w:r>
    </w:p>
    <w:p w14:paraId="29266C6C"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lastRenderedPageBreak/>
        <w:t xml:space="preserve">- mokymų organizavimo ir vykdymo tvarka; </w:t>
      </w:r>
    </w:p>
    <w:p w14:paraId="421A3CD5"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kriptografijos ir šifravimo naudojimo tvarka; </w:t>
      </w:r>
    </w:p>
    <w:p w14:paraId="039C89C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žmogiškųjų išteklių saugumo reikalavimai; </w:t>
      </w:r>
    </w:p>
    <w:p w14:paraId="275F4FD2"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fizinės prieigos reikalavimai; </w:t>
      </w:r>
    </w:p>
    <w:p w14:paraId="0E85F6AC"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turto valdymo tvarka; </w:t>
      </w:r>
    </w:p>
    <w:p w14:paraId="4454CD9F"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tapatumo nustatymo nuostatos. </w:t>
      </w:r>
    </w:p>
    <w:p w14:paraId="04611BE4"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2.12.2. Kibernetinių incidentų valdymo planas. Jame turi būti nurodyta:</w:t>
      </w:r>
    </w:p>
    <w:p w14:paraId="1C77A61D"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kibernetinių incidentų nustatymo būdai;</w:t>
      </w:r>
    </w:p>
    <w:p w14:paraId="352C676D"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kibernetinių incidentų vertinimas; </w:t>
      </w:r>
    </w:p>
    <w:p w14:paraId="03887F9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kibernetinių incidentų valdymo organizavimas; </w:t>
      </w:r>
    </w:p>
    <w:p w14:paraId="26947AA9"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kibernetinių incidentų komunikavimo su suinteresuotomis šalimis nuostatos; </w:t>
      </w:r>
    </w:p>
    <w:p w14:paraId="293269F5"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darbuotojų, kurie yra atsakingi už kibernetinių incidentų valdymą, atsakomybė; </w:t>
      </w:r>
    </w:p>
    <w:p w14:paraId="0E179733"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kibernetinių incidentų įrodymų nustatymo, rinkimo, gavimo, pranešimo ir išsaugojimo nuostatos, t. y. nustatyti žurnalinių įrašų administravimo ir saugojimo, įsibrovimų aptikimo ir prevencijos reikalavimus; </w:t>
      </w:r>
    </w:p>
    <w:p w14:paraId="3A104609"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įgytos kibernetinių incidentų valdymo patirties vertinimas; </w:t>
      </w:r>
    </w:p>
    <w:p w14:paraId="1D5B9E30"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kibernetinių incidentų valdymo plano veiksmingumo išbandymo ir išbandymo rezultatų ataskaitų rengimo nuostatos. </w:t>
      </w:r>
    </w:p>
    <w:p w14:paraId="5ED065E3"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2.12.3. Tinklų ir informacinių sistemų veiklos tęstinumo valdymo planas. Jis turi apimti:</w:t>
      </w:r>
    </w:p>
    <w:p w14:paraId="7BE1961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sąlygas, kada pradedamas taikyti tinklų ir informacinių sistemų veiklos tęstinumo planas; - tinklų ir informacinių sistemų veiklos kriterijai, pagal kuriuos galima nustatyti, ar tinklų ir informacinės sistemos veikla atkurta; </w:t>
      </w:r>
    </w:p>
    <w:p w14:paraId="1849093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asmenys, atsakingi už tinklų ir informacinių sistemų veiklos tęstinumo plano vykdymą, jų pareigos ir funkcijos; </w:t>
      </w:r>
    </w:p>
    <w:p w14:paraId="44F44B3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nuostatos, kuriose turi būti nurodyti tinklų ir informacinių sistemų veiklos tęstinumo valdymo grupės sudėties ir jos funkcijų reikalavimai, įtraukiant reikalavimą, kad veiklos tęstinumo valdymo grupės sudėtyje būtų kibernetinio saugumo vadovas ir (ar) saugos įgaliotinis; </w:t>
      </w:r>
    </w:p>
    <w:p w14:paraId="6AF75A72"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nuostatos, kuriose turi būti nurodyti tinklų ir informacinių sistemų veiklos atkūrimo grupės sudėties ir jos funkcijų reikalavimai; </w:t>
      </w:r>
    </w:p>
    <w:p w14:paraId="2E55A7D9"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detalus tinklų ir informacinių sistemų veiklos atkūrimo planas; </w:t>
      </w:r>
    </w:p>
    <w:p w14:paraId="271500F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tinklų ir informacinių sistemų veiklos tęstinumo valdymo plano veiksmingumo išbandymo reikalavimai; </w:t>
      </w:r>
    </w:p>
    <w:p w14:paraId="6BD36C2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tinklų ir informacinių sistemų veiklos tęstinumo valdymo plano veiksmingumo išbandymo rezultatų ataskaitų rengimo reikalavimai; </w:t>
      </w:r>
    </w:p>
    <w:p w14:paraId="28E9259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atsarginių duomenų kopijų atkūrimo parametrai pagal kibernetinio saugumo subjekto nustatytą tinklų ir informacinių sistemų ar jų dalies atkūrimo laikotarpį (angl. </w:t>
      </w:r>
      <w:proofErr w:type="spellStart"/>
      <w:r w:rsidRPr="00F0245D">
        <w:rPr>
          <w:rFonts w:ascii="Times New Roman" w:hAnsi="Times New Roman" w:cs="Times New Roman"/>
          <w:sz w:val="22"/>
          <w:szCs w:val="22"/>
        </w:rPr>
        <w:t>Recovery</w:t>
      </w:r>
      <w:proofErr w:type="spellEnd"/>
      <w:r w:rsidRPr="00F0245D">
        <w:rPr>
          <w:rFonts w:ascii="Times New Roman" w:hAnsi="Times New Roman" w:cs="Times New Roman"/>
          <w:sz w:val="22"/>
          <w:szCs w:val="22"/>
        </w:rPr>
        <w:t xml:space="preserve"> </w:t>
      </w:r>
      <w:proofErr w:type="spellStart"/>
      <w:r w:rsidRPr="00F0245D">
        <w:rPr>
          <w:rFonts w:ascii="Times New Roman" w:hAnsi="Times New Roman" w:cs="Times New Roman"/>
          <w:sz w:val="22"/>
          <w:szCs w:val="22"/>
        </w:rPr>
        <w:t>time</w:t>
      </w:r>
      <w:proofErr w:type="spellEnd"/>
      <w:r w:rsidRPr="00F0245D">
        <w:rPr>
          <w:rFonts w:ascii="Times New Roman" w:hAnsi="Times New Roman" w:cs="Times New Roman"/>
          <w:sz w:val="22"/>
          <w:szCs w:val="22"/>
        </w:rPr>
        <w:t xml:space="preserve"> </w:t>
      </w:r>
      <w:proofErr w:type="spellStart"/>
      <w:r w:rsidRPr="00F0245D">
        <w:rPr>
          <w:rFonts w:ascii="Times New Roman" w:hAnsi="Times New Roman" w:cs="Times New Roman"/>
          <w:sz w:val="22"/>
          <w:szCs w:val="22"/>
        </w:rPr>
        <w:t>objective</w:t>
      </w:r>
      <w:proofErr w:type="spellEnd"/>
      <w:r w:rsidRPr="00F0245D">
        <w:rPr>
          <w:rFonts w:ascii="Times New Roman" w:hAnsi="Times New Roman" w:cs="Times New Roman"/>
          <w:sz w:val="22"/>
          <w:szCs w:val="22"/>
        </w:rPr>
        <w:t xml:space="preserve">, RTO) ir šių parametrų išbandymo reikalavimai; </w:t>
      </w:r>
    </w:p>
    <w:p w14:paraId="13547484"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 tinklų ir informacinių sistemų ar jų dalies duomenų atstatymo laikas (angl. </w:t>
      </w:r>
      <w:proofErr w:type="spellStart"/>
      <w:r w:rsidRPr="00F0245D">
        <w:rPr>
          <w:rFonts w:ascii="Times New Roman" w:hAnsi="Times New Roman" w:cs="Times New Roman"/>
          <w:sz w:val="22"/>
          <w:szCs w:val="22"/>
        </w:rPr>
        <w:t>Recovery</w:t>
      </w:r>
      <w:proofErr w:type="spellEnd"/>
      <w:r w:rsidRPr="00F0245D">
        <w:rPr>
          <w:rFonts w:ascii="Times New Roman" w:hAnsi="Times New Roman" w:cs="Times New Roman"/>
          <w:sz w:val="22"/>
          <w:szCs w:val="22"/>
        </w:rPr>
        <w:t xml:space="preserve"> </w:t>
      </w:r>
      <w:proofErr w:type="spellStart"/>
      <w:r w:rsidRPr="00F0245D">
        <w:rPr>
          <w:rFonts w:ascii="Times New Roman" w:hAnsi="Times New Roman" w:cs="Times New Roman"/>
          <w:sz w:val="22"/>
          <w:szCs w:val="22"/>
        </w:rPr>
        <w:t>point</w:t>
      </w:r>
      <w:proofErr w:type="spellEnd"/>
      <w:r w:rsidRPr="00F0245D">
        <w:rPr>
          <w:rFonts w:ascii="Times New Roman" w:hAnsi="Times New Roman" w:cs="Times New Roman"/>
          <w:sz w:val="22"/>
          <w:szCs w:val="22"/>
        </w:rPr>
        <w:t xml:space="preserve"> </w:t>
      </w:r>
      <w:proofErr w:type="spellStart"/>
      <w:r w:rsidRPr="00F0245D">
        <w:rPr>
          <w:rFonts w:ascii="Times New Roman" w:hAnsi="Times New Roman" w:cs="Times New Roman"/>
          <w:sz w:val="22"/>
          <w:szCs w:val="22"/>
        </w:rPr>
        <w:t>objective</w:t>
      </w:r>
      <w:proofErr w:type="spellEnd"/>
      <w:r w:rsidRPr="00F0245D">
        <w:rPr>
          <w:rFonts w:ascii="Times New Roman" w:hAnsi="Times New Roman" w:cs="Times New Roman"/>
          <w:sz w:val="22"/>
          <w:szCs w:val="22"/>
        </w:rPr>
        <w:t xml:space="preserve">, RPO) ir jo išbandymo reikalavimai. </w:t>
      </w:r>
    </w:p>
    <w:p w14:paraId="2A06B130" w14:textId="77777777" w:rsidR="006D64E0" w:rsidRPr="00C43CCD" w:rsidRDefault="006D64E0" w:rsidP="006D64E0">
      <w:pPr>
        <w:spacing w:after="0" w:line="240" w:lineRule="auto"/>
        <w:ind w:firstLine="709"/>
        <w:jc w:val="both"/>
        <w:rPr>
          <w:rFonts w:ascii="Times New Roman" w:hAnsi="Times New Roman" w:cs="Times New Roman"/>
          <w:sz w:val="22"/>
          <w:szCs w:val="22"/>
        </w:rPr>
      </w:pPr>
      <w:r w:rsidRPr="00C43CCD">
        <w:rPr>
          <w:rFonts w:ascii="Times New Roman" w:hAnsi="Times New Roman" w:cs="Times New Roman"/>
          <w:sz w:val="22"/>
          <w:szCs w:val="22"/>
        </w:rPr>
        <w:t xml:space="preserve">2.13. Kibernetinio saugumo vadovas turi teikti pasiūlymus bei rekomendacijas dėl: </w:t>
      </w:r>
    </w:p>
    <w:p w14:paraId="5DC851F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2.13.1. Kibernetinio saugumo politikos ir ją įgyvendinančių dokumentų priėmimo, keitimo ar panaikinimo;</w:t>
      </w:r>
    </w:p>
    <w:p w14:paraId="68FDF853"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2.13.2. organizacinių ir techninių priemonių, skirtų Perkančiosios organizacijos kibernetinio saugumo užtikrinimui ir kontrolei, diegimo; </w:t>
      </w:r>
    </w:p>
    <w:p w14:paraId="722C88CD" w14:textId="77777777" w:rsidR="006D64E0" w:rsidRPr="00F0245D" w:rsidRDefault="006D64E0" w:rsidP="006D64E0">
      <w:pPr>
        <w:spacing w:after="0" w:line="240" w:lineRule="auto"/>
        <w:ind w:firstLine="709"/>
        <w:jc w:val="both"/>
        <w:rPr>
          <w:rFonts w:ascii="Times New Roman" w:hAnsi="Times New Roman" w:cs="Times New Roman"/>
          <w:color w:val="000000" w:themeColor="text1"/>
          <w:sz w:val="22"/>
          <w:szCs w:val="22"/>
        </w:rPr>
      </w:pPr>
      <w:r w:rsidRPr="00F0245D">
        <w:rPr>
          <w:rFonts w:ascii="Times New Roman" w:hAnsi="Times New Roman" w:cs="Times New Roman"/>
          <w:color w:val="000000" w:themeColor="text1"/>
          <w:sz w:val="22"/>
          <w:szCs w:val="22"/>
        </w:rPr>
        <w:t>2.13.3. dėl atsakymų į oficialius raštus iš kontroliuojančių institucijų (NKSC, KAM, EIMIN), susijusius su kibernetinio saugumo klausimais.</w:t>
      </w:r>
    </w:p>
    <w:p w14:paraId="31891BF5"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2.14. Vertinant informacijos saugos ir kibernetinio saugumo riziką privalo: </w:t>
      </w:r>
    </w:p>
    <w:p w14:paraId="740246AA"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2.14.1. Parengti informacinių išteklių sąrašą ir ne rečiau nei kartą per metus peržiūrėti ir, esant poreikiui, atnaujinti informacinių išteklių sąrašą. </w:t>
      </w:r>
    </w:p>
    <w:p w14:paraId="165DDE99"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2.14.2. Ne rečiau nei kartą per metus atlikti kibernetinio saugumo rizikos valdymo priemonių veiksmingumo vertinimą ir pateikti Perkančiajai organizacijai ataskaitą.</w:t>
      </w:r>
    </w:p>
    <w:p w14:paraId="2A314A5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2.14.3. Ne rečiau nei kartą per metus arba po aktualių pokyčių atlikti informacijos nutekėjimo rizikos vertinimą, ataskaitą ir gerinimo rekomendacijas pateikti Perkančiajai organizacijai. </w:t>
      </w:r>
    </w:p>
    <w:p w14:paraId="3FFE566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2.14.4. Atlikti naujos techninės ir programinės įrangos gamintojų ir tiekėjų rizikos vertinimą pagal poreikį. </w:t>
      </w:r>
    </w:p>
    <w:p w14:paraId="1B469DD8"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2.14.5. Techninės ir programinės įrangos gamintojų ir tiekėjų rizikos vertinimas pagal poreikį. </w:t>
      </w:r>
    </w:p>
    <w:p w14:paraId="7F221FD0"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lastRenderedPageBreak/>
        <w:t xml:space="preserve">2.15. Kibernetinio saugumo vadovo paslaugas betarpiškai teikiantys atsakingi asmenys turi: </w:t>
      </w:r>
    </w:p>
    <w:p w14:paraId="5B2B5F2E"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2.15.1. atitikti Lietuvos Respublikos valstybės tarnybos įstatyme nustatytus nepriekaištingos reputacijos kriterijus;</w:t>
      </w:r>
    </w:p>
    <w:p w14:paraId="29EF41DA" w14:textId="20C2C6AE"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2.15.2. negali turėti paskirtos administracinės nuobaudos už teisės aktų pažeidimus tinklų ir informacinių sistemų ir asmens duomenų tvarkymo ir privatumo apsaugos srityse, jeigu nuo nuobaudos paskyrimo yra praėję mažiau kaip vieni metai</w:t>
      </w:r>
      <w:r w:rsidR="007E17F6">
        <w:rPr>
          <w:rFonts w:ascii="Times New Roman" w:hAnsi="Times New Roman" w:cs="Times New Roman"/>
          <w:sz w:val="22"/>
          <w:szCs w:val="22"/>
        </w:rPr>
        <w:t>.</w:t>
      </w:r>
    </w:p>
    <w:p w14:paraId="4860C525" w14:textId="77777777" w:rsidR="006D64E0"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2.16. Kibernetinio paslaugų apimtyje turi būti įtrauktas visų dokumentų projektų, reikalingų Tinklų ir informacinių sistemų direktyvos   2022/2555 (toliau – TIS2),  reikalavimų atitikimo užtikrinimui, pateikimas Perkančiajai organizacijai bei konsultacijos jų parengimo (užpildymo reikalinga Perkančiajai organizacijai taikytina informacija) ir patvirtinimo klausimais.</w:t>
      </w:r>
    </w:p>
    <w:p w14:paraId="4377EC2A" w14:textId="77777777" w:rsidR="006D64E0" w:rsidRPr="00F0245D" w:rsidRDefault="006D64E0" w:rsidP="006D64E0">
      <w:pPr>
        <w:spacing w:after="0" w:line="240" w:lineRule="auto"/>
        <w:ind w:firstLine="709"/>
        <w:jc w:val="both"/>
        <w:rPr>
          <w:rFonts w:ascii="Times New Roman" w:hAnsi="Times New Roman" w:cs="Times New Roman"/>
          <w:sz w:val="22"/>
          <w:szCs w:val="22"/>
        </w:rPr>
      </w:pPr>
    </w:p>
    <w:p w14:paraId="6AABEB49" w14:textId="77777777" w:rsidR="006D64E0" w:rsidRPr="00F0245D" w:rsidRDefault="006D64E0" w:rsidP="006D64E0">
      <w:pPr>
        <w:spacing w:after="0" w:line="240" w:lineRule="auto"/>
        <w:ind w:firstLine="709"/>
        <w:jc w:val="both"/>
        <w:rPr>
          <w:rFonts w:ascii="Times New Roman" w:hAnsi="Times New Roman" w:cs="Times New Roman"/>
          <w:b/>
          <w:bCs/>
          <w:sz w:val="22"/>
          <w:szCs w:val="22"/>
        </w:rPr>
      </w:pPr>
      <w:r w:rsidRPr="00F0245D">
        <w:rPr>
          <w:rFonts w:ascii="Times New Roman" w:hAnsi="Times New Roman" w:cs="Times New Roman"/>
          <w:b/>
          <w:bCs/>
          <w:sz w:val="22"/>
          <w:szCs w:val="22"/>
        </w:rPr>
        <w:t>3. Paslaugų suteikimo terminai.</w:t>
      </w:r>
    </w:p>
    <w:p w14:paraId="606E3C2A" w14:textId="77777777" w:rsidR="006D64E0" w:rsidRPr="00F0245D" w:rsidRDefault="006D64E0" w:rsidP="006D64E0">
      <w:pPr>
        <w:spacing w:after="0" w:line="240" w:lineRule="auto"/>
        <w:jc w:val="both"/>
        <w:rPr>
          <w:rFonts w:ascii="Times New Roman" w:hAnsi="Times New Roman" w:cs="Times New Roman"/>
          <w:sz w:val="22"/>
          <w:szCs w:val="22"/>
        </w:rPr>
      </w:pPr>
    </w:p>
    <w:p w14:paraId="0006FFA3"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3.1.</w:t>
      </w:r>
      <w:r w:rsidRPr="00F0245D">
        <w:rPr>
          <w:rFonts w:ascii="Times New Roman" w:hAnsi="Times New Roman" w:cs="Times New Roman"/>
          <w:b/>
          <w:bCs/>
          <w:sz w:val="22"/>
          <w:szCs w:val="22"/>
        </w:rPr>
        <w:t xml:space="preserve"> </w:t>
      </w:r>
      <w:r w:rsidRPr="00F0245D">
        <w:rPr>
          <w:rFonts w:ascii="Times New Roman" w:hAnsi="Times New Roman" w:cs="Times New Roman"/>
          <w:sz w:val="22"/>
          <w:szCs w:val="22"/>
        </w:rPr>
        <w:t>Perkančiosios organizacijos IT ūkio įvertinimas (auditas) ir reikiamos ar trūkstamos dokumentacijos, būtinos kibernetinio saugumo atitikčiai tiesiogiai ją reglamentuojančių teisės aktų reikalavimams užtikrinti, parengimas turi būti atliktas per 4 mėn. nuo pirkimo sutarties įsigaliojimo dienos</w:t>
      </w:r>
      <w:r>
        <w:rPr>
          <w:rFonts w:ascii="Times New Roman" w:hAnsi="Times New Roman" w:cs="Times New Roman"/>
          <w:sz w:val="22"/>
          <w:szCs w:val="22"/>
        </w:rPr>
        <w:t>.</w:t>
      </w:r>
    </w:p>
    <w:p w14:paraId="2789C4A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3.2. </w:t>
      </w:r>
      <w:r w:rsidRPr="00F0245D">
        <w:rPr>
          <w:rFonts w:ascii="Times New Roman" w:hAnsi="Times New Roman" w:cs="Times New Roman"/>
          <w:b/>
          <w:bCs/>
          <w:sz w:val="22"/>
          <w:szCs w:val="22"/>
        </w:rPr>
        <w:t xml:space="preserve"> </w:t>
      </w:r>
      <w:r w:rsidRPr="00F0245D">
        <w:rPr>
          <w:rFonts w:ascii="Times New Roman" w:hAnsi="Times New Roman" w:cs="Times New Roman"/>
          <w:sz w:val="22"/>
          <w:szCs w:val="22"/>
        </w:rPr>
        <w:t xml:space="preserve">Kibernetinio saugumo vadovo ir saugos įgaliotino, atsakingų už </w:t>
      </w:r>
      <w:r>
        <w:rPr>
          <w:rFonts w:ascii="Times New Roman" w:hAnsi="Times New Roman" w:cs="Times New Roman"/>
          <w:sz w:val="22"/>
          <w:szCs w:val="22"/>
        </w:rPr>
        <w:t>ŠMSA</w:t>
      </w:r>
      <w:r w:rsidRPr="00F0245D">
        <w:rPr>
          <w:rFonts w:ascii="Times New Roman" w:hAnsi="Times New Roman" w:cs="Times New Roman"/>
          <w:sz w:val="22"/>
          <w:szCs w:val="22"/>
        </w:rPr>
        <w:t xml:space="preserve"> atitikties KSĮ 14 ir 18 straipsniuose nustatytiems reikalavimams, funkcijų vykdymas turi būti pradėtas vykdyti ir vykdomas nuo pirkimo sutarties įsigaliojimo dienos nepertraukiamai 12 mėn., t. y. bendras paslaugų teikimo terminas nebus ilgesnis nei </w:t>
      </w:r>
      <w:r w:rsidR="008018AC">
        <w:rPr>
          <w:rFonts w:ascii="Times New Roman" w:hAnsi="Times New Roman" w:cs="Times New Roman"/>
          <w:sz w:val="22"/>
          <w:szCs w:val="22"/>
        </w:rPr>
        <w:t>12</w:t>
      </w:r>
      <w:r w:rsidRPr="00F0245D">
        <w:rPr>
          <w:rFonts w:ascii="Times New Roman" w:hAnsi="Times New Roman" w:cs="Times New Roman"/>
          <w:sz w:val="22"/>
          <w:szCs w:val="22"/>
        </w:rPr>
        <w:t xml:space="preserve"> mėn.;</w:t>
      </w:r>
    </w:p>
    <w:p w14:paraId="6B4A8D4A" w14:textId="77777777" w:rsidR="006D64E0"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3.3</w:t>
      </w:r>
      <w:r>
        <w:rPr>
          <w:rFonts w:ascii="Times New Roman" w:hAnsi="Times New Roman" w:cs="Times New Roman"/>
          <w:sz w:val="22"/>
          <w:szCs w:val="22"/>
        </w:rPr>
        <w:t>.</w:t>
      </w:r>
      <w:r w:rsidRPr="00F0245D">
        <w:rPr>
          <w:rFonts w:ascii="Times New Roman" w:hAnsi="Times New Roman" w:cs="Times New Roman"/>
          <w:sz w:val="22"/>
          <w:szCs w:val="22"/>
        </w:rPr>
        <w:t xml:space="preserve"> Per dvi darbo savaites nuo pirkimo sutarties įsigaliojimo paslaugų tekėjas privalės pateikti ir suderinti su Perkančiąja organizacija detalizuotą paslaugų teikimo grafiką. </w:t>
      </w:r>
    </w:p>
    <w:p w14:paraId="261B4E10" w14:textId="77777777" w:rsidR="006D64E0" w:rsidRPr="00F0245D" w:rsidRDefault="006D64E0" w:rsidP="006D64E0">
      <w:pPr>
        <w:spacing w:after="0" w:line="240" w:lineRule="auto"/>
        <w:ind w:firstLine="709"/>
        <w:jc w:val="both"/>
        <w:rPr>
          <w:rFonts w:ascii="Times New Roman" w:hAnsi="Times New Roman" w:cs="Times New Roman"/>
          <w:sz w:val="22"/>
          <w:szCs w:val="22"/>
        </w:rPr>
      </w:pPr>
    </w:p>
    <w:p w14:paraId="008E9129" w14:textId="77777777" w:rsidR="006D64E0"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4. </w:t>
      </w:r>
      <w:r w:rsidRPr="00F0245D">
        <w:rPr>
          <w:rFonts w:ascii="Times New Roman" w:hAnsi="Times New Roman" w:cs="Times New Roman"/>
          <w:b/>
          <w:bCs/>
          <w:sz w:val="22"/>
          <w:szCs w:val="22"/>
        </w:rPr>
        <w:t>Paslaugų priėmimas ir atsiskaitymas.</w:t>
      </w:r>
      <w:r w:rsidRPr="00F0245D">
        <w:rPr>
          <w:rFonts w:ascii="Times New Roman" w:hAnsi="Times New Roman" w:cs="Times New Roman"/>
          <w:sz w:val="22"/>
          <w:szCs w:val="22"/>
        </w:rPr>
        <w:t xml:space="preserve"> </w:t>
      </w:r>
    </w:p>
    <w:p w14:paraId="78638119" w14:textId="77777777" w:rsidR="006D64E0" w:rsidRPr="00F0245D" w:rsidRDefault="006D64E0" w:rsidP="006D64E0">
      <w:pPr>
        <w:spacing w:after="0" w:line="240" w:lineRule="auto"/>
        <w:ind w:firstLine="709"/>
        <w:jc w:val="both"/>
        <w:rPr>
          <w:rFonts w:ascii="Times New Roman" w:hAnsi="Times New Roman" w:cs="Times New Roman"/>
          <w:sz w:val="22"/>
          <w:szCs w:val="22"/>
        </w:rPr>
      </w:pPr>
    </w:p>
    <w:p w14:paraId="1C5C868F"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4.1.Paslaugos priimamos dalimis, šalims pasirašant atitinkamus perdavimo – priėmimo aktus:</w:t>
      </w:r>
    </w:p>
    <w:p w14:paraId="24A2DF50"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4.1.1. Suteikus 3.1 punkte nurodytas paslaugas;</w:t>
      </w:r>
    </w:p>
    <w:p w14:paraId="175DBEDB" w14:textId="77777777" w:rsidR="006D64E0"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 xml:space="preserve">4.1.2. Kiekvieną kalendorinį mėnesį </w:t>
      </w:r>
      <w:r w:rsidRPr="007E17F6">
        <w:rPr>
          <w:rFonts w:ascii="Times New Roman" w:hAnsi="Times New Roman" w:cs="Times New Roman"/>
          <w:sz w:val="22"/>
          <w:szCs w:val="22"/>
        </w:rPr>
        <w:t>pagal mėnesio įkainį už</w:t>
      </w:r>
      <w:r w:rsidRPr="00F0245D">
        <w:rPr>
          <w:rFonts w:ascii="Times New Roman" w:hAnsi="Times New Roman" w:cs="Times New Roman"/>
          <w:sz w:val="22"/>
          <w:szCs w:val="22"/>
        </w:rPr>
        <w:t xml:space="preserve"> 3.2 punkte nurodytas paslaugas.</w:t>
      </w:r>
    </w:p>
    <w:p w14:paraId="026F9348" w14:textId="77777777" w:rsidR="006D64E0" w:rsidRPr="00F0245D" w:rsidRDefault="006D64E0" w:rsidP="006D64E0">
      <w:pPr>
        <w:spacing w:after="0" w:line="240" w:lineRule="auto"/>
        <w:ind w:firstLine="709"/>
        <w:jc w:val="both"/>
        <w:rPr>
          <w:rFonts w:ascii="Times New Roman" w:hAnsi="Times New Roman" w:cs="Times New Roman"/>
          <w:b/>
          <w:bCs/>
          <w:sz w:val="22"/>
          <w:szCs w:val="22"/>
        </w:rPr>
      </w:pPr>
      <w:r w:rsidRPr="00F0245D">
        <w:rPr>
          <w:rFonts w:ascii="Times New Roman" w:hAnsi="Times New Roman" w:cs="Times New Roman"/>
          <w:sz w:val="22"/>
          <w:szCs w:val="22"/>
        </w:rPr>
        <w:t xml:space="preserve">  </w:t>
      </w:r>
    </w:p>
    <w:p w14:paraId="0D71DBB8" w14:textId="77777777" w:rsidR="006D64E0" w:rsidRDefault="006D64E0" w:rsidP="006D64E0">
      <w:pPr>
        <w:spacing w:after="0" w:line="240" w:lineRule="auto"/>
        <w:ind w:firstLine="709"/>
        <w:jc w:val="both"/>
        <w:rPr>
          <w:rFonts w:ascii="Times New Roman" w:hAnsi="Times New Roman" w:cs="Times New Roman"/>
          <w:b/>
          <w:bCs/>
          <w:sz w:val="22"/>
          <w:szCs w:val="22"/>
        </w:rPr>
      </w:pPr>
      <w:r w:rsidRPr="00F0245D">
        <w:rPr>
          <w:rFonts w:ascii="Times New Roman" w:hAnsi="Times New Roman" w:cs="Times New Roman"/>
          <w:sz w:val="22"/>
          <w:szCs w:val="22"/>
        </w:rPr>
        <w:t xml:space="preserve">5. </w:t>
      </w:r>
      <w:r w:rsidRPr="00F0245D">
        <w:rPr>
          <w:rFonts w:ascii="Times New Roman" w:hAnsi="Times New Roman" w:cs="Times New Roman"/>
          <w:b/>
          <w:bCs/>
          <w:sz w:val="22"/>
          <w:szCs w:val="22"/>
        </w:rPr>
        <w:t>Kitos nuostatos.</w:t>
      </w:r>
    </w:p>
    <w:p w14:paraId="6406DBEA" w14:textId="77777777" w:rsidR="006D64E0" w:rsidRPr="00F0245D" w:rsidRDefault="006D64E0" w:rsidP="006D64E0">
      <w:pPr>
        <w:spacing w:after="0" w:line="240" w:lineRule="auto"/>
        <w:ind w:firstLine="709"/>
        <w:jc w:val="both"/>
        <w:rPr>
          <w:rFonts w:ascii="Times New Roman" w:hAnsi="Times New Roman" w:cs="Times New Roman"/>
          <w:sz w:val="22"/>
          <w:szCs w:val="22"/>
        </w:rPr>
      </w:pPr>
    </w:p>
    <w:p w14:paraId="762F8815"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5.1.</w:t>
      </w:r>
      <w:r w:rsidRPr="00F0245D">
        <w:rPr>
          <w:rFonts w:ascii="Times New Roman" w:hAnsi="Times New Roman" w:cs="Times New Roman"/>
          <w:sz w:val="22"/>
          <w:szCs w:val="22"/>
        </w:rPr>
        <w:tab/>
        <w:t>Paslaugos neturi kelti grėsmės nacionaliniam saugumui. Paslaugų teikėjas, teikdamas ir pasirašydamas pirkimo pasiūlymą, patvirtina bei įsipareigoja užtikrinti, kad jo asmuo ar pasitelkiami subtiekėjai, pačios siūlomos paslaugos nekelia ir bet kuriame pirkimo sutarties vykdymo etape nekels grėsmės nacionaliniam saugumui. Paaiškėjus priešingoms aplinkybėms, Paslaugų teikėjas bet kuriame pirkimo etape dėl to gali būti pašalinamas iš pirkimo procedūrų ar su juo nutraukiama pirkimo sutartis, reikalaujant atlyginti visus Perkančiosios organizacijos dėl to patirtus nuostolius.</w:t>
      </w:r>
    </w:p>
    <w:p w14:paraId="188472EF"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5.2.</w:t>
      </w:r>
      <w:r w:rsidRPr="00F0245D">
        <w:rPr>
          <w:rFonts w:ascii="Times New Roman" w:hAnsi="Times New Roman" w:cs="Times New Roman"/>
          <w:sz w:val="22"/>
          <w:szCs w:val="22"/>
        </w:rPr>
        <w:tab/>
        <w:t>Pirkimo dokumentuose nurodyti pavadinimai, gamintojai, technologinis procesas, produkto kilmė, konkretus pavadinimas, ženklas (jei tokią prielaidą galima daryti) yra informacinio pobūdžio ir Paslaugų teikėjas nėra įpareigojamas siūlyti ir/ar naudoti šių gamintojų produkciją, procesą (gali naudoti lygiaverčius). Teikdamas pasiūlymą, Paslaugų teikėjas turi vadovautis šiuo metu galiojančiais normatyvais technologijai, medžiagoms, įrangai, paslaugoms, atsižvelgti į pirkimo objekto specifiką. Lygiavertiškumo nurodytiems duomenims įrodymo prievolė tenka Paslaugų teikėjui.</w:t>
      </w:r>
    </w:p>
    <w:p w14:paraId="2C3A047B" w14:textId="77777777" w:rsidR="006D64E0" w:rsidRPr="00F0245D" w:rsidRDefault="006D64E0" w:rsidP="006D64E0">
      <w:pPr>
        <w:spacing w:after="0" w:line="240" w:lineRule="auto"/>
        <w:ind w:firstLine="709"/>
        <w:jc w:val="both"/>
        <w:rPr>
          <w:rFonts w:ascii="Times New Roman" w:hAnsi="Times New Roman" w:cs="Times New Roman"/>
          <w:sz w:val="22"/>
          <w:szCs w:val="22"/>
        </w:rPr>
      </w:pPr>
      <w:r w:rsidRPr="00F0245D">
        <w:rPr>
          <w:rFonts w:ascii="Times New Roman" w:hAnsi="Times New Roman" w:cs="Times New Roman"/>
          <w:sz w:val="22"/>
          <w:szCs w:val="22"/>
        </w:rPr>
        <w:t>5.3.</w:t>
      </w:r>
      <w:r w:rsidRPr="00F0245D">
        <w:rPr>
          <w:rFonts w:ascii="Times New Roman" w:hAnsi="Times New Roman" w:cs="Times New Roman"/>
          <w:sz w:val="22"/>
          <w:szCs w:val="22"/>
        </w:rPr>
        <w:tab/>
        <w:t>Paslaugų pirkimui galioja žaliojo pirkimo statusas bei nuostatos pagal Aplinkos apsaugos kriterijų taikymo, vykdant žaliuosius pirkimus, tvarkos aprašo, patvirtinto Lietuvos Respublikos aplinkos ministro 2011 m. birželio 28 d. įsakymu Nr. D1-508, 4.4.3 p.</w:t>
      </w:r>
    </w:p>
    <w:p w14:paraId="48CAAB5D" w14:textId="77777777" w:rsidR="00561237" w:rsidRDefault="00561237"/>
    <w:sectPr w:rsidR="00561237">
      <w:footerReference w:type="firs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E09D" w14:textId="77777777" w:rsidR="008A707B" w:rsidRDefault="008A707B">
      <w:pPr>
        <w:spacing w:after="0" w:line="240" w:lineRule="auto"/>
      </w:pPr>
      <w:r>
        <w:separator/>
      </w:r>
    </w:p>
  </w:endnote>
  <w:endnote w:type="continuationSeparator" w:id="0">
    <w:p w14:paraId="683B3F09" w14:textId="77777777" w:rsidR="008A707B" w:rsidRDefault="008A7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4F122" w14:textId="77777777" w:rsidR="003515B0" w:rsidRDefault="003515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2B56" w14:textId="77777777" w:rsidR="008A707B" w:rsidRDefault="008A707B">
      <w:pPr>
        <w:spacing w:after="0" w:line="240" w:lineRule="auto"/>
      </w:pPr>
      <w:r>
        <w:separator/>
      </w:r>
    </w:p>
  </w:footnote>
  <w:footnote w:type="continuationSeparator" w:id="0">
    <w:p w14:paraId="73F5B65E" w14:textId="77777777" w:rsidR="008A707B" w:rsidRDefault="008A70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4E0"/>
    <w:rsid w:val="00001C21"/>
    <w:rsid w:val="00045D26"/>
    <w:rsid w:val="001059C0"/>
    <w:rsid w:val="00320FC7"/>
    <w:rsid w:val="00330763"/>
    <w:rsid w:val="003515B0"/>
    <w:rsid w:val="00561237"/>
    <w:rsid w:val="00591E01"/>
    <w:rsid w:val="005B1D3B"/>
    <w:rsid w:val="006D64E0"/>
    <w:rsid w:val="007E17F6"/>
    <w:rsid w:val="008018AC"/>
    <w:rsid w:val="00804287"/>
    <w:rsid w:val="008A707B"/>
    <w:rsid w:val="00991E1C"/>
    <w:rsid w:val="00A207F9"/>
    <w:rsid w:val="00AB6F39"/>
    <w:rsid w:val="00BC1886"/>
    <w:rsid w:val="00BC7766"/>
    <w:rsid w:val="00D957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5D3CC"/>
  <w15:chartTrackingRefBased/>
  <w15:docId w15:val="{804D78B2-6F79-4E9E-A946-45CB5162F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4E0"/>
    <w:pPr>
      <w:spacing w:line="276" w:lineRule="auto"/>
    </w:pPr>
    <w:rPr>
      <w:rFonts w:ascii="Calibri" w:eastAsia="Calibri" w:hAnsi="Calibri" w:cs="Calibr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6D64E0"/>
    <w:pPr>
      <w:tabs>
        <w:tab w:val="center" w:pos="4513"/>
        <w:tab w:val="right" w:pos="9026"/>
      </w:tabs>
    </w:pPr>
  </w:style>
  <w:style w:type="character" w:customStyle="1" w:styleId="PoratDiagrama">
    <w:name w:val="Poraštė Diagrama"/>
    <w:basedOn w:val="Numatytasispastraiposriftas"/>
    <w:link w:val="Porat"/>
    <w:uiPriority w:val="99"/>
    <w:rsid w:val="006D64E0"/>
    <w:rPr>
      <w:rFonts w:ascii="Calibri" w:eastAsia="Calibri" w:hAnsi="Calibri" w:cs="Calibr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9554</Words>
  <Characters>5447</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Kondrotas</dc:creator>
  <cp:keywords/>
  <dc:description/>
  <cp:lastModifiedBy>PC31</cp:lastModifiedBy>
  <cp:revision>8</cp:revision>
  <dcterms:created xsi:type="dcterms:W3CDTF">2026-04-24T08:24:00Z</dcterms:created>
  <dcterms:modified xsi:type="dcterms:W3CDTF">2026-04-30T11:57:00Z</dcterms:modified>
</cp:coreProperties>
</file>